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4F44" w14:textId="246D14EF" w:rsidR="004D3D56" w:rsidRPr="00DE3E52" w:rsidRDefault="0081495C" w:rsidP="002B50EA">
      <w:pPr>
        <w:pStyle w:val="tituloart"/>
      </w:pPr>
      <w:r w:rsidRPr="0081495C">
        <w:rPr>
          <w:rStyle w:val="titeng"/>
          <w:b/>
        </w:rPr>
        <w:t>EFECTOS CITO Y GENOTÓXICOS EN TRABAJADORES PATOLOGÍA EXPUESTOS A COMPUESTOS ORGÁNICOS VOLÁTILES EN UN HOSPITAL DE TERCER NIVEL.</w:t>
      </w:r>
    </w:p>
    <w:p w14:paraId="7DF81B53" w14:textId="6D2D2157" w:rsidR="001C5B6C" w:rsidRPr="0081495C" w:rsidRDefault="0081495C" w:rsidP="0081495C">
      <w:pPr>
        <w:rPr>
          <w:rStyle w:val="autores"/>
          <w:rFonts w:ascii="Verdana" w:hAnsi="Verdana"/>
          <w:color w:val="111111"/>
          <w:sz w:val="17"/>
          <w:szCs w:val="17"/>
        </w:rPr>
      </w:pPr>
      <w:r>
        <w:rPr>
          <w:rStyle w:val="nfasis"/>
          <w:rFonts w:ascii="Verdana" w:hAnsi="Verdana"/>
          <w:color w:val="111111"/>
          <w:sz w:val="17"/>
          <w:szCs w:val="17"/>
        </w:rPr>
        <w:t xml:space="preserve">Brenda </w:t>
      </w:r>
      <w:proofErr w:type="spellStart"/>
      <w:r>
        <w:rPr>
          <w:rStyle w:val="nfasis"/>
          <w:rFonts w:ascii="Verdana" w:hAnsi="Verdana"/>
          <w:color w:val="111111"/>
          <w:sz w:val="17"/>
          <w:szCs w:val="17"/>
        </w:rPr>
        <w:t>Ivonn</w:t>
      </w:r>
      <w:proofErr w:type="spellEnd"/>
      <w:r>
        <w:rPr>
          <w:rStyle w:val="nfasis"/>
          <w:rFonts w:ascii="Verdana" w:hAnsi="Verdana"/>
          <w:color w:val="111111"/>
          <w:sz w:val="17"/>
          <w:szCs w:val="17"/>
        </w:rPr>
        <w:t xml:space="preserve"> Rodríguez Romero</w:t>
      </w:r>
      <w:r w:rsidR="00F10C6D">
        <w:rPr>
          <w:rStyle w:val="nfasis"/>
          <w:rFonts w:ascii="Verdana" w:hAnsi="Verdana"/>
          <w:color w:val="111111"/>
          <w:sz w:val="17"/>
          <w:szCs w:val="17"/>
        </w:rPr>
        <w:t>¹</w:t>
      </w:r>
    </w:p>
    <w:p w14:paraId="31E23F24" w14:textId="75E6316E" w:rsidR="004D3D56" w:rsidRDefault="0081495C" w:rsidP="002B50EA">
      <w:pPr>
        <w:pStyle w:val="Textoindependiente"/>
        <w:spacing w:after="0" w:line="240" w:lineRule="auto"/>
        <w:ind w:firstLine="539"/>
        <w:rPr>
          <w:rFonts w:eastAsia="Times New Roman" w:cstheme="minorHAnsi"/>
          <w:i/>
          <w:sz w:val="20"/>
          <w:szCs w:val="24"/>
          <w:lang w:val="es-ES_tradnl"/>
        </w:rPr>
      </w:pPr>
      <w:r w:rsidRPr="0081495C">
        <w:rPr>
          <w:rFonts w:eastAsia="Times New Roman" w:cstheme="minorHAnsi"/>
          <w:i/>
          <w:sz w:val="20"/>
          <w:szCs w:val="24"/>
          <w:lang w:val="es-ES_tradnl"/>
        </w:rPr>
        <w:t>¹ Maestría en Ciencias en Salud Ocupacional, Seguridad e Higiene</w:t>
      </w:r>
      <w:r>
        <w:rPr>
          <w:rFonts w:eastAsia="Times New Roman" w:cstheme="minorHAnsi"/>
          <w:i/>
          <w:sz w:val="20"/>
          <w:szCs w:val="24"/>
          <w:lang w:val="es-ES_tradnl"/>
        </w:rPr>
        <w:t>, STPS Estado de México</w:t>
      </w:r>
    </w:p>
    <w:p w14:paraId="3B65D747" w14:textId="77777777" w:rsidR="0081495C" w:rsidRDefault="0081495C" w:rsidP="002B50EA">
      <w:pPr>
        <w:pStyle w:val="Textoindependiente"/>
        <w:spacing w:after="0" w:line="240" w:lineRule="auto"/>
        <w:ind w:firstLine="539"/>
        <w:rPr>
          <w:rStyle w:val="AfiliacinCar"/>
          <w:rFonts w:eastAsiaTheme="minorHAnsi"/>
        </w:rPr>
      </w:pPr>
    </w:p>
    <w:p w14:paraId="5A50645C" w14:textId="3C2B38F1" w:rsidR="004D3D56" w:rsidRDefault="004D3D56" w:rsidP="002B50EA">
      <w:pPr>
        <w:pStyle w:val="Textoindependiente"/>
        <w:spacing w:before="120" w:after="0" w:line="240" w:lineRule="auto"/>
        <w:ind w:firstLine="539"/>
        <w:rPr>
          <w:rFonts w:cstheme="minorHAnsi"/>
          <w:i/>
          <w:sz w:val="28"/>
          <w:szCs w:val="28"/>
        </w:rPr>
      </w:pPr>
      <w:r w:rsidRPr="00855D9D">
        <w:rPr>
          <w:rStyle w:val="AfiliacinCar"/>
          <w:rFonts w:eastAsiaTheme="minorHAnsi"/>
        </w:rPr>
        <w:t>Correo electrónico de contacto:</w:t>
      </w:r>
      <w:r w:rsidRPr="002A1794">
        <w:rPr>
          <w:rFonts w:cstheme="minorHAnsi"/>
          <w:i/>
          <w:szCs w:val="28"/>
        </w:rPr>
        <w:t xml:space="preserve"> </w:t>
      </w:r>
      <w:r w:rsidR="0081495C" w:rsidRPr="0081495C">
        <w:rPr>
          <w:rStyle w:val="AfiliacinCar"/>
          <w:rFonts w:eastAsiaTheme="minorHAnsi"/>
        </w:rPr>
        <w:t>tleyotzin@</w:t>
      </w:r>
      <w:r w:rsidR="0081495C">
        <w:rPr>
          <w:rStyle w:val="AfiliacinCar"/>
          <w:rFonts w:eastAsiaTheme="minorHAnsi"/>
        </w:rPr>
        <w:t>xxxxxxxx.</w:t>
      </w:r>
      <w:r w:rsidR="0081495C" w:rsidRPr="0081495C">
        <w:rPr>
          <w:rStyle w:val="AfiliacinCar"/>
          <w:rFonts w:eastAsiaTheme="minorHAnsi"/>
        </w:rPr>
        <w:t>com</w:t>
      </w:r>
    </w:p>
    <w:p w14:paraId="06C340E8" w14:textId="77777777" w:rsidR="0081495C" w:rsidRDefault="0081495C" w:rsidP="001C5B6C">
      <w:pPr>
        <w:ind w:left="142"/>
        <w:rPr>
          <w:rStyle w:val="Textoennegrita"/>
          <w:sz w:val="28"/>
          <w:szCs w:val="28"/>
          <w:lang w:val="es-MX"/>
        </w:rPr>
      </w:pPr>
    </w:p>
    <w:p w14:paraId="05BB43AD" w14:textId="77777777" w:rsidR="0081495C" w:rsidRPr="0081495C" w:rsidRDefault="0081495C" w:rsidP="0081495C">
      <w:pPr>
        <w:ind w:left="142"/>
        <w:rPr>
          <w:rStyle w:val="Textoennegrita"/>
          <w:sz w:val="28"/>
          <w:szCs w:val="28"/>
          <w:lang w:val="es-MX"/>
        </w:rPr>
      </w:pPr>
      <w:r w:rsidRPr="0081495C">
        <w:rPr>
          <w:rStyle w:val="Textoennegrita"/>
          <w:sz w:val="28"/>
          <w:szCs w:val="28"/>
          <w:lang w:val="es-MX"/>
        </w:rPr>
        <w:t>Resumen</w:t>
      </w:r>
    </w:p>
    <w:p w14:paraId="6FB3B017" w14:textId="77777777" w:rsidR="0081495C" w:rsidRPr="0081495C" w:rsidRDefault="0081495C" w:rsidP="0081495C">
      <w:pPr>
        <w:ind w:left="142"/>
        <w:rPr>
          <w:rStyle w:val="Textoennegrita"/>
          <w:sz w:val="28"/>
          <w:szCs w:val="28"/>
          <w:lang w:val="es-MX"/>
        </w:rPr>
      </w:pPr>
      <w:r w:rsidRPr="0081495C">
        <w:rPr>
          <w:rStyle w:val="Textoennegrita"/>
          <w:sz w:val="28"/>
          <w:szCs w:val="28"/>
          <w:lang w:val="es-MX"/>
        </w:rPr>
        <w:t>Introducción</w:t>
      </w:r>
    </w:p>
    <w:p w14:paraId="5B776268" w14:textId="77777777" w:rsidR="0081495C" w:rsidRPr="0081495C" w:rsidRDefault="0081495C" w:rsidP="0081495C">
      <w:pPr>
        <w:pStyle w:val="Prrafodelista"/>
        <w:ind w:left="142"/>
        <w:rPr>
          <w:lang w:eastAsia="es-ES_tradnl"/>
        </w:rPr>
      </w:pPr>
      <w:r w:rsidRPr="0081495C">
        <w:rPr>
          <w:lang w:eastAsia="es-ES_tradnl"/>
        </w:rPr>
        <w:t>Los efectos de la exposición a sustancias en el ambiente laboral ha sido un tema de interés dentro de la comunidad científica, algunas sustancias ya se encuentran descritas como tóxicas, teratogénicas, carcinogénicas o mutagénicas por los efectos nocivos que tienen en la salud, y el análisis de riesgos químicos resulta interesante no solo por los efectos tóxicos agudos ante la exposición laboral a los mismos, sino por los efectos crónicos que presentan algunas sustancias en el organismo de los trabajadores (que en ocasiones no son aparentes) y por la exposición a pequeñas cantidades que se pueden ver potenciadas por la mezcla con otros compuestos.</w:t>
      </w:r>
    </w:p>
    <w:p w14:paraId="417B8E3E" w14:textId="77777777" w:rsidR="0081495C" w:rsidRPr="0081495C" w:rsidRDefault="0081495C" w:rsidP="0081495C">
      <w:pPr>
        <w:pStyle w:val="Prrafodelista"/>
        <w:ind w:left="142"/>
        <w:rPr>
          <w:lang w:eastAsia="es-ES_tradnl"/>
        </w:rPr>
      </w:pPr>
      <w:r w:rsidRPr="0081495C">
        <w:rPr>
          <w:lang w:eastAsia="es-ES_tradnl"/>
        </w:rPr>
        <w:t>Se sabe que los orgánicos volátiles (</w:t>
      </w:r>
      <w:proofErr w:type="spellStart"/>
      <w:r w:rsidRPr="0081495C">
        <w:rPr>
          <w:lang w:eastAsia="es-ES_tradnl"/>
        </w:rPr>
        <w:t>COVs</w:t>
      </w:r>
      <w:proofErr w:type="spellEnd"/>
      <w:r w:rsidRPr="0081495C">
        <w:rPr>
          <w:lang w:eastAsia="es-ES_tradnl"/>
        </w:rPr>
        <w:t xml:space="preserve">), pueden provocar alteraciones cognitivas; cardiacas; pérdida de cabello; padecimientos hematológicos; incremento en la susceptibilidad de esclerodermia, esclerosis múltiple y cáncer de mama en hombres. En estudios más recientes, se han propuesto marcadores moleculares como biomarcadores de daño ante la exposición a </w:t>
      </w:r>
      <w:proofErr w:type="spellStart"/>
      <w:r w:rsidRPr="0081495C">
        <w:rPr>
          <w:lang w:eastAsia="es-ES_tradnl"/>
        </w:rPr>
        <w:t>COVs</w:t>
      </w:r>
      <w:proofErr w:type="spellEnd"/>
      <w:r w:rsidRPr="0081495C">
        <w:rPr>
          <w:lang w:eastAsia="es-ES_tradnl"/>
        </w:rPr>
        <w:t>, como la prueba de micronúcleos, fragmentación de DNA y viabilidad celular (Salem, 2018); pretendiendo utilizarse como alternativa para la identificación oportuna de daño en el organismo antes de que se presente alguna patología clínicamente establecida.</w:t>
      </w:r>
    </w:p>
    <w:p w14:paraId="3C0CA9E1" w14:textId="77777777" w:rsidR="0081495C" w:rsidRPr="0081495C" w:rsidRDefault="0081495C" w:rsidP="0081495C">
      <w:pPr>
        <w:pStyle w:val="Prrafodelista"/>
        <w:ind w:left="142"/>
        <w:rPr>
          <w:lang w:eastAsia="es-ES_tradnl"/>
        </w:rPr>
      </w:pPr>
      <w:r w:rsidRPr="0081495C">
        <w:rPr>
          <w:lang w:eastAsia="es-ES_tradnl"/>
        </w:rPr>
        <w:t>La mayoría de los estudios se realizan de manera experimental en animales, o bien, se realizan en trabajadores en un ambiente laboral industrial, fábricas de pinturas, alimentos, textiles, talleres de carpintería, talleres mecánicos, entre otros (Lodoño, 2016); pero son muy pocos los realizados en el ambiente intrahospitalario (Aquino, 2016).</w:t>
      </w:r>
    </w:p>
    <w:p w14:paraId="4CDDEFE9" w14:textId="68D299BA" w:rsidR="0081495C" w:rsidRDefault="0081495C" w:rsidP="0081495C">
      <w:pPr>
        <w:pStyle w:val="Prrafodelista"/>
        <w:ind w:left="142"/>
        <w:rPr>
          <w:lang w:eastAsia="es-ES_tradnl"/>
        </w:rPr>
      </w:pPr>
      <w:r w:rsidRPr="0081495C">
        <w:rPr>
          <w:lang w:eastAsia="es-ES_tradnl"/>
        </w:rPr>
        <w:t>El objetivo de este trabajo es evaluar daños citotóxicos y genotóxicos en trabajadores de patología expuestos a compuestos orgánicos volátiles en un hospital de tercer nivel de la Ciudad de México.</w:t>
      </w:r>
    </w:p>
    <w:p w14:paraId="726059B9" w14:textId="77777777" w:rsidR="00F10C6D" w:rsidRPr="0081495C" w:rsidRDefault="00F10C6D" w:rsidP="0081495C">
      <w:pPr>
        <w:pStyle w:val="Prrafodelista"/>
        <w:ind w:left="142"/>
        <w:rPr>
          <w:lang w:eastAsia="es-ES_tradnl"/>
        </w:rPr>
      </w:pPr>
    </w:p>
    <w:p w14:paraId="794988F2" w14:textId="77777777" w:rsidR="0081495C" w:rsidRPr="0081495C" w:rsidRDefault="0081495C" w:rsidP="0081495C">
      <w:pPr>
        <w:ind w:left="142"/>
        <w:rPr>
          <w:rStyle w:val="Textoennegrita"/>
          <w:sz w:val="28"/>
          <w:szCs w:val="28"/>
          <w:lang w:val="es-MX"/>
        </w:rPr>
      </w:pPr>
      <w:r w:rsidRPr="0081495C">
        <w:rPr>
          <w:rStyle w:val="Textoennegrita"/>
          <w:sz w:val="28"/>
          <w:szCs w:val="28"/>
          <w:lang w:val="es-MX"/>
        </w:rPr>
        <w:lastRenderedPageBreak/>
        <w:t>Método</w:t>
      </w:r>
    </w:p>
    <w:p w14:paraId="15179AD0" w14:textId="77777777" w:rsidR="0081495C" w:rsidRPr="0081495C" w:rsidRDefault="0081495C" w:rsidP="0081495C">
      <w:pPr>
        <w:pStyle w:val="Prrafodelista"/>
        <w:ind w:left="142"/>
        <w:rPr>
          <w:lang w:eastAsia="es-ES_tradnl"/>
        </w:rPr>
      </w:pPr>
      <w:r w:rsidRPr="0081495C">
        <w:rPr>
          <w:lang w:eastAsia="es-ES_tradnl"/>
        </w:rPr>
        <w:t xml:space="preserve">Se está trabajando con 66 trabajadores divididos en dos grupos: un grupo control (no expuestos a </w:t>
      </w:r>
      <w:proofErr w:type="spellStart"/>
      <w:r w:rsidRPr="0081495C">
        <w:rPr>
          <w:lang w:eastAsia="es-ES_tradnl"/>
        </w:rPr>
        <w:t>COVs</w:t>
      </w:r>
      <w:proofErr w:type="spellEnd"/>
      <w:r w:rsidRPr="0081495C">
        <w:rPr>
          <w:lang w:eastAsia="es-ES_tradnl"/>
        </w:rPr>
        <w:t xml:space="preserve">), a los que se les está aplicando la encuesta socio laboral, tomando en cuenta la antigüedad en el puesto de trabajo, enfermedades hematológicas previas, consumo de alcohol y tabaco; y un grupo problema (expuestos a </w:t>
      </w:r>
      <w:proofErr w:type="spellStart"/>
      <w:r w:rsidRPr="0081495C">
        <w:rPr>
          <w:lang w:eastAsia="es-ES_tradnl"/>
        </w:rPr>
        <w:t>COVs</w:t>
      </w:r>
      <w:proofErr w:type="spellEnd"/>
      <w:r w:rsidRPr="0081495C">
        <w:rPr>
          <w:lang w:eastAsia="es-ES_tradnl"/>
        </w:rPr>
        <w:t>), que son individuos sanos, sin consumo de tabaco ni alcohol.</w:t>
      </w:r>
    </w:p>
    <w:p w14:paraId="459ACA72" w14:textId="77777777" w:rsidR="0081495C" w:rsidRPr="0081495C" w:rsidRDefault="0081495C" w:rsidP="0081495C">
      <w:pPr>
        <w:pStyle w:val="Prrafodelista"/>
        <w:ind w:left="142"/>
        <w:rPr>
          <w:lang w:eastAsia="es-ES_tradnl"/>
        </w:rPr>
      </w:pPr>
      <w:r w:rsidRPr="0081495C">
        <w:rPr>
          <w:lang w:eastAsia="es-ES_tradnl"/>
        </w:rPr>
        <w:t>Los procedimientos propuestos están de acuerdo con las normas éticas, con la declaración de Helsinki de 1975 y sus enmiendas, los códigos y normas Internacionales vigentes para las buenas prácticas en la investigación clínica, así como el Reglamento de la Ley General de Salud en Materia de Investigación para la Salud, que lo considera como riesgo mínimo, por lo que se cuenta con consentimiento informado.</w:t>
      </w:r>
    </w:p>
    <w:p w14:paraId="08F8A95A" w14:textId="77777777" w:rsidR="0081495C" w:rsidRPr="0081495C" w:rsidRDefault="0081495C" w:rsidP="0081495C">
      <w:pPr>
        <w:ind w:left="142"/>
        <w:rPr>
          <w:rStyle w:val="Textoennegrita"/>
          <w:sz w:val="28"/>
          <w:szCs w:val="28"/>
          <w:lang w:val="es-MX"/>
        </w:rPr>
      </w:pPr>
      <w:r w:rsidRPr="0081495C">
        <w:rPr>
          <w:rStyle w:val="Textoennegrita"/>
          <w:sz w:val="28"/>
          <w:szCs w:val="28"/>
          <w:lang w:val="es-MX"/>
        </w:rPr>
        <w:t>Diagnóstico situacional y Monitoreo ambiental</w:t>
      </w:r>
    </w:p>
    <w:p w14:paraId="46858EF4" w14:textId="77777777" w:rsidR="0081495C" w:rsidRPr="0081495C" w:rsidRDefault="0081495C" w:rsidP="0081495C">
      <w:pPr>
        <w:pStyle w:val="Prrafodelista"/>
        <w:ind w:left="142"/>
        <w:rPr>
          <w:lang w:eastAsia="es-ES_tradnl"/>
        </w:rPr>
      </w:pPr>
      <w:r w:rsidRPr="0081495C">
        <w:rPr>
          <w:lang w:eastAsia="es-ES_tradnl"/>
        </w:rPr>
        <w:t xml:space="preserve">Se está realizando un reconocimiento de los </w:t>
      </w:r>
      <w:proofErr w:type="spellStart"/>
      <w:r w:rsidRPr="0081495C">
        <w:rPr>
          <w:lang w:eastAsia="es-ES_tradnl"/>
        </w:rPr>
        <w:t>COVs</w:t>
      </w:r>
      <w:proofErr w:type="spellEnd"/>
      <w:r w:rsidRPr="0081495C">
        <w:rPr>
          <w:lang w:eastAsia="es-ES_tradnl"/>
        </w:rPr>
        <w:t xml:space="preserve"> a los que se exponen los trabajadores, la concentración, frecuencia de uso y cantidad que utilizan durante la jornada laboral; los efectos nocivos de cada uno de ellos y las características de las instalaciones, por medio de un diagnóstico situacional.</w:t>
      </w:r>
    </w:p>
    <w:p w14:paraId="0CC9F565" w14:textId="77777777" w:rsidR="0081495C" w:rsidRPr="0081495C" w:rsidRDefault="0081495C" w:rsidP="0081495C">
      <w:pPr>
        <w:pStyle w:val="Prrafodelista"/>
        <w:ind w:left="142"/>
        <w:rPr>
          <w:lang w:eastAsia="es-ES_tradnl"/>
        </w:rPr>
      </w:pPr>
      <w:r w:rsidRPr="0081495C">
        <w:rPr>
          <w:lang w:eastAsia="es-ES_tradnl"/>
        </w:rPr>
        <w:t>Se determinarán los niveles a los que están expuestos los trabajadores en el puesto de trabajo durante la jornada laboral, comparándolos con los niveles máximos permisibles; por medio de bombas con tubos de absorción para su análisis por medio de cromatografía de gases acoplado a espectrometría de masas.</w:t>
      </w:r>
    </w:p>
    <w:p w14:paraId="3AD7D37F" w14:textId="6A78B36F" w:rsidR="0081495C" w:rsidRPr="0081495C" w:rsidRDefault="0081495C" w:rsidP="0081495C">
      <w:pPr>
        <w:ind w:left="142"/>
        <w:rPr>
          <w:rStyle w:val="Textoennegrita"/>
          <w:sz w:val="28"/>
          <w:szCs w:val="28"/>
          <w:lang w:val="es-MX"/>
        </w:rPr>
      </w:pPr>
      <w:r w:rsidRPr="0081495C">
        <w:rPr>
          <w:rStyle w:val="Textoennegrita"/>
          <w:sz w:val="28"/>
          <w:szCs w:val="28"/>
          <w:lang w:val="es-MX"/>
        </w:rPr>
        <w:t>Resultados</w:t>
      </w:r>
    </w:p>
    <w:p w14:paraId="04D984A2" w14:textId="77777777" w:rsidR="0081495C" w:rsidRPr="0081495C" w:rsidRDefault="0081495C" w:rsidP="0081495C">
      <w:pPr>
        <w:ind w:left="142"/>
        <w:rPr>
          <w:rStyle w:val="Textoennegrita"/>
          <w:sz w:val="24"/>
          <w:szCs w:val="24"/>
          <w:lang w:val="es-MX"/>
        </w:rPr>
      </w:pPr>
      <w:r w:rsidRPr="0081495C">
        <w:rPr>
          <w:rStyle w:val="Textoennegrita"/>
          <w:sz w:val="24"/>
          <w:szCs w:val="24"/>
          <w:lang w:val="es-MX"/>
        </w:rPr>
        <w:t>Efectos citotóxicos</w:t>
      </w:r>
    </w:p>
    <w:p w14:paraId="27C1F7FF" w14:textId="77777777" w:rsidR="0081495C" w:rsidRPr="0081495C" w:rsidRDefault="0081495C" w:rsidP="0081495C">
      <w:pPr>
        <w:pStyle w:val="Prrafodelista"/>
        <w:ind w:left="142"/>
        <w:rPr>
          <w:lang w:eastAsia="es-ES_tradnl"/>
        </w:rPr>
      </w:pPr>
      <w:r w:rsidRPr="0081495C">
        <w:rPr>
          <w:lang w:eastAsia="es-ES_tradnl"/>
        </w:rPr>
        <w:t>Se está realizando biometría hemática para conocer la proporción celular y tinción de Wright para observar morfología celular y posibles cambios tóxicos.</w:t>
      </w:r>
    </w:p>
    <w:p w14:paraId="5753AD81" w14:textId="77777777" w:rsidR="0081495C" w:rsidRPr="0081495C" w:rsidRDefault="0081495C" w:rsidP="0081495C">
      <w:pPr>
        <w:pStyle w:val="Prrafodelista"/>
        <w:ind w:left="142"/>
        <w:rPr>
          <w:lang w:eastAsia="es-ES_tradnl"/>
        </w:rPr>
      </w:pPr>
      <w:r w:rsidRPr="0081495C">
        <w:rPr>
          <w:lang w:eastAsia="es-ES_tradnl"/>
        </w:rPr>
        <w:t>Para identificar posibles alteraciones en la estructura de células epiteliales bucales, se realizará la prueba de micronúcleos en mucosa oral mediante tinción de naranja de acridina, visualizados con microscopía de fluorescencia; y DNA libre en plasma utilizando el método de fenol-cloroformo-alcohol isoamílico.</w:t>
      </w:r>
    </w:p>
    <w:p w14:paraId="40340CB9" w14:textId="0DE84CC6" w:rsidR="0081495C" w:rsidRPr="0081495C" w:rsidRDefault="0081495C" w:rsidP="0081495C">
      <w:pPr>
        <w:pStyle w:val="Prrafodelista"/>
        <w:ind w:left="142"/>
        <w:rPr>
          <w:lang w:eastAsia="es-ES_tradnl"/>
        </w:rPr>
      </w:pPr>
    </w:p>
    <w:p w14:paraId="27D8ED66" w14:textId="77777777" w:rsidR="0081495C" w:rsidRPr="0081495C" w:rsidRDefault="0081495C" w:rsidP="0081495C">
      <w:pPr>
        <w:ind w:left="142"/>
        <w:rPr>
          <w:rStyle w:val="Textoennegrita"/>
          <w:sz w:val="24"/>
          <w:szCs w:val="24"/>
          <w:lang w:val="es-MX"/>
        </w:rPr>
      </w:pPr>
      <w:r w:rsidRPr="0081495C">
        <w:rPr>
          <w:rStyle w:val="Textoennegrita"/>
          <w:sz w:val="24"/>
          <w:szCs w:val="24"/>
          <w:lang w:val="es-MX"/>
        </w:rPr>
        <w:t>Efectos genotóxicos</w:t>
      </w:r>
    </w:p>
    <w:p w14:paraId="481833E0" w14:textId="77777777" w:rsidR="0081495C" w:rsidRPr="0081495C" w:rsidRDefault="0081495C" w:rsidP="0081495C">
      <w:pPr>
        <w:pStyle w:val="Prrafodelista"/>
        <w:ind w:left="142"/>
        <w:rPr>
          <w:lang w:eastAsia="es-ES_tradnl"/>
        </w:rPr>
      </w:pPr>
      <w:r w:rsidRPr="0081495C">
        <w:rPr>
          <w:lang w:eastAsia="es-ES_tradnl"/>
        </w:rPr>
        <w:t xml:space="preserve">Se evaluará la modulación de expresión de génica de marcadores de estrés oxidativo (CYP2E1 (citocromo P450 2E1, catalasa y superóxido dismutasa) y proteínas de choque térmico (HSP 70, 72 y 90); mediante la prueba de PCR (Prueba de reacción en cadena de polimerasa) en tiempo real con la tecnología de </w:t>
      </w:r>
      <w:proofErr w:type="spellStart"/>
      <w:r w:rsidRPr="0081495C">
        <w:rPr>
          <w:lang w:eastAsia="es-ES_tradnl"/>
        </w:rPr>
        <w:t>SYBRgreen</w:t>
      </w:r>
      <w:proofErr w:type="spellEnd"/>
      <w:r w:rsidRPr="0081495C">
        <w:rPr>
          <w:lang w:eastAsia="es-ES_tradnl"/>
        </w:rPr>
        <w:t xml:space="preserve"> (</w:t>
      </w:r>
      <w:proofErr w:type="spellStart"/>
      <w:r w:rsidRPr="0081495C">
        <w:rPr>
          <w:lang w:eastAsia="es-ES_tradnl"/>
        </w:rPr>
        <w:t>Aplied</w:t>
      </w:r>
      <w:proofErr w:type="spellEnd"/>
      <w:r w:rsidRPr="0081495C">
        <w:rPr>
          <w:lang w:eastAsia="es-ES_tradnl"/>
        </w:rPr>
        <w:t xml:space="preserve"> </w:t>
      </w:r>
      <w:proofErr w:type="spellStart"/>
      <w:r w:rsidRPr="0081495C">
        <w:rPr>
          <w:lang w:eastAsia="es-ES_tradnl"/>
        </w:rPr>
        <w:t>Byosistems</w:t>
      </w:r>
      <w:proofErr w:type="spellEnd"/>
      <w:r w:rsidRPr="0081495C">
        <w:rPr>
          <w:lang w:eastAsia="es-ES_tradnl"/>
        </w:rPr>
        <w:t>).</w:t>
      </w:r>
    </w:p>
    <w:p w14:paraId="638AFFB3" w14:textId="77777777" w:rsidR="0081495C" w:rsidRPr="0081495C" w:rsidRDefault="0081495C" w:rsidP="0081495C">
      <w:pPr>
        <w:ind w:left="142"/>
        <w:rPr>
          <w:rStyle w:val="Textoennegrita"/>
          <w:sz w:val="28"/>
          <w:szCs w:val="28"/>
          <w:lang w:val="es-MX"/>
        </w:rPr>
      </w:pPr>
      <w:r w:rsidRPr="0081495C">
        <w:rPr>
          <w:rStyle w:val="Textoennegrita"/>
          <w:sz w:val="28"/>
          <w:szCs w:val="28"/>
          <w:lang w:val="es-MX"/>
        </w:rPr>
        <w:t>Avances significativos</w:t>
      </w:r>
    </w:p>
    <w:p w14:paraId="6680625F" w14:textId="77777777" w:rsidR="0081495C" w:rsidRPr="0081495C" w:rsidRDefault="0081495C" w:rsidP="0081495C">
      <w:pPr>
        <w:pStyle w:val="Prrafodelista"/>
        <w:ind w:left="142"/>
        <w:rPr>
          <w:lang w:eastAsia="es-ES_tradnl"/>
        </w:rPr>
      </w:pPr>
      <w:r w:rsidRPr="0081495C">
        <w:rPr>
          <w:lang w:eastAsia="es-ES_tradnl"/>
        </w:rPr>
        <w:t xml:space="preserve">Los resultados hasta el momento en el grupo no expuesto a </w:t>
      </w:r>
      <w:proofErr w:type="spellStart"/>
      <w:r w:rsidRPr="0081495C">
        <w:rPr>
          <w:lang w:eastAsia="es-ES_tradnl"/>
        </w:rPr>
        <w:t>COVs</w:t>
      </w:r>
      <w:proofErr w:type="spellEnd"/>
      <w:r w:rsidRPr="0081495C">
        <w:rPr>
          <w:lang w:eastAsia="es-ES_tradnl"/>
        </w:rPr>
        <w:t xml:space="preserve"> indica parámetros normales para las células sanguíneas.</w:t>
      </w:r>
    </w:p>
    <w:p w14:paraId="664AC960" w14:textId="77777777" w:rsidR="0081495C" w:rsidRPr="0081495C" w:rsidRDefault="0081495C" w:rsidP="0081495C">
      <w:pPr>
        <w:pStyle w:val="Prrafodelista"/>
        <w:ind w:left="142"/>
        <w:rPr>
          <w:lang w:eastAsia="es-ES_tradnl"/>
        </w:rPr>
      </w:pPr>
      <w:r w:rsidRPr="0081495C">
        <w:rPr>
          <w:lang w:eastAsia="es-ES_tradnl"/>
        </w:rPr>
        <w:t xml:space="preserve">Resultados posteriores del grupo expuesto a </w:t>
      </w:r>
      <w:proofErr w:type="spellStart"/>
      <w:r w:rsidRPr="0081495C">
        <w:rPr>
          <w:lang w:eastAsia="es-ES_tradnl"/>
        </w:rPr>
        <w:t>COVs</w:t>
      </w:r>
      <w:proofErr w:type="spellEnd"/>
      <w:r w:rsidRPr="0081495C">
        <w:rPr>
          <w:lang w:eastAsia="es-ES_tradnl"/>
        </w:rPr>
        <w:t xml:space="preserve"> permitirá realizar comparaciones entre los grupos de estudio e identificar cambios en el personal asintomático expuesto, que pueda ser útil para implementar acciones preventivas antes de que se desarrolle una patología en particular asociada a la exposición del trabajador.</w:t>
      </w:r>
    </w:p>
    <w:p w14:paraId="5E1C532C" w14:textId="77777777" w:rsidR="0081495C" w:rsidRPr="0081495C" w:rsidRDefault="0081495C" w:rsidP="0081495C">
      <w:pPr>
        <w:ind w:left="142"/>
        <w:rPr>
          <w:rStyle w:val="Textoennegrita"/>
          <w:sz w:val="28"/>
          <w:szCs w:val="28"/>
          <w:lang w:val="es-MX"/>
        </w:rPr>
      </w:pPr>
      <w:r w:rsidRPr="0081495C">
        <w:rPr>
          <w:rStyle w:val="Textoennegrita"/>
          <w:sz w:val="28"/>
          <w:szCs w:val="28"/>
          <w:lang w:val="es-MX"/>
        </w:rPr>
        <w:t>Referencias</w:t>
      </w:r>
    </w:p>
    <w:p w14:paraId="7FAF9D04" w14:textId="77777777" w:rsidR="0081495C" w:rsidRPr="0081495C" w:rsidRDefault="0081495C" w:rsidP="0081495C">
      <w:pPr>
        <w:pStyle w:val="Prrafodelista"/>
        <w:ind w:left="142"/>
        <w:rPr>
          <w:i/>
          <w:iCs/>
          <w:sz w:val="22"/>
          <w:szCs w:val="18"/>
          <w:lang w:eastAsia="es-ES_tradnl"/>
        </w:rPr>
      </w:pPr>
      <w:r w:rsidRPr="0081495C">
        <w:rPr>
          <w:i/>
          <w:iCs/>
          <w:sz w:val="22"/>
          <w:szCs w:val="18"/>
          <w:lang w:eastAsia="es-ES_tradnl"/>
        </w:rPr>
        <w:t xml:space="preserve">Tatiane de Aquino et, al. DNA damage and cytotoxicity in pathology laboratory technicians exposed to organic solvents. Anais da Academia </w:t>
      </w:r>
      <w:proofErr w:type="spellStart"/>
      <w:r w:rsidRPr="0081495C">
        <w:rPr>
          <w:i/>
          <w:iCs/>
          <w:sz w:val="22"/>
          <w:szCs w:val="18"/>
          <w:lang w:eastAsia="es-ES_tradnl"/>
        </w:rPr>
        <w:t>Brasileira</w:t>
      </w:r>
      <w:proofErr w:type="spellEnd"/>
      <w:r w:rsidRPr="0081495C">
        <w:rPr>
          <w:i/>
          <w:iCs/>
          <w:sz w:val="22"/>
          <w:szCs w:val="18"/>
          <w:lang w:eastAsia="es-ES_tradnl"/>
        </w:rPr>
        <w:t xml:space="preserve"> de </w:t>
      </w:r>
      <w:proofErr w:type="spellStart"/>
      <w:r w:rsidRPr="0081495C">
        <w:rPr>
          <w:i/>
          <w:iCs/>
          <w:sz w:val="22"/>
          <w:szCs w:val="18"/>
          <w:lang w:eastAsia="es-ES_tradnl"/>
        </w:rPr>
        <w:t>Ciências</w:t>
      </w:r>
      <w:proofErr w:type="spellEnd"/>
      <w:r w:rsidRPr="0081495C">
        <w:rPr>
          <w:i/>
          <w:iCs/>
          <w:sz w:val="22"/>
          <w:szCs w:val="18"/>
          <w:lang w:eastAsia="es-ES_tradnl"/>
        </w:rPr>
        <w:t> (2016) 88(1):227-236.</w:t>
      </w:r>
    </w:p>
    <w:p w14:paraId="0F27A116" w14:textId="77777777" w:rsidR="0081495C" w:rsidRPr="0081495C" w:rsidRDefault="0081495C" w:rsidP="0081495C">
      <w:pPr>
        <w:pStyle w:val="Prrafodelista"/>
        <w:ind w:left="142"/>
        <w:rPr>
          <w:i/>
          <w:iCs/>
          <w:sz w:val="22"/>
          <w:szCs w:val="18"/>
          <w:lang w:eastAsia="es-ES_tradnl"/>
        </w:rPr>
      </w:pPr>
      <w:r w:rsidRPr="0081495C">
        <w:rPr>
          <w:i/>
          <w:iCs/>
          <w:sz w:val="22"/>
          <w:szCs w:val="18"/>
          <w:lang w:eastAsia="es-ES_tradnl"/>
        </w:rPr>
        <w:t xml:space="preserve">Elizabeth </w:t>
      </w:r>
      <w:proofErr w:type="spellStart"/>
      <w:r w:rsidRPr="0081495C">
        <w:rPr>
          <w:i/>
          <w:iCs/>
          <w:sz w:val="22"/>
          <w:szCs w:val="18"/>
          <w:lang w:eastAsia="es-ES_tradnl"/>
        </w:rPr>
        <w:t>Londoño</w:t>
      </w:r>
      <w:proofErr w:type="spellEnd"/>
      <w:r w:rsidRPr="0081495C">
        <w:rPr>
          <w:i/>
          <w:iCs/>
          <w:sz w:val="22"/>
          <w:szCs w:val="18"/>
          <w:lang w:eastAsia="es-ES_tradnl"/>
        </w:rPr>
        <w:t xml:space="preserve">-Velasco (2016) Assessment of DNA damage in car </w:t>
      </w:r>
      <w:proofErr w:type="gramStart"/>
      <w:r w:rsidRPr="0081495C">
        <w:rPr>
          <w:i/>
          <w:iCs/>
          <w:sz w:val="22"/>
          <w:szCs w:val="18"/>
          <w:lang w:eastAsia="es-ES_tradnl"/>
        </w:rPr>
        <w:t>spray</w:t>
      </w:r>
      <w:proofErr w:type="gramEnd"/>
      <w:r w:rsidRPr="0081495C">
        <w:rPr>
          <w:i/>
          <w:iCs/>
          <w:sz w:val="22"/>
          <w:szCs w:val="18"/>
          <w:lang w:eastAsia="es-ES_tradnl"/>
        </w:rPr>
        <w:t xml:space="preserve"> painters exposed to organic solvents by the high-throughput comet assay, Toxicology Mechanisms and Methods, 26:4, 238-242, DOI: 10.3109/15376516.2016.1158892.</w:t>
      </w:r>
    </w:p>
    <w:p w14:paraId="7E5B7B91" w14:textId="77777777" w:rsidR="0081495C" w:rsidRPr="0081495C" w:rsidRDefault="0081495C" w:rsidP="0081495C">
      <w:pPr>
        <w:pStyle w:val="Prrafodelista"/>
        <w:ind w:left="142"/>
        <w:rPr>
          <w:i/>
          <w:iCs/>
          <w:sz w:val="22"/>
          <w:szCs w:val="18"/>
          <w:lang w:eastAsia="es-ES_tradnl"/>
        </w:rPr>
      </w:pPr>
      <w:r w:rsidRPr="0081495C">
        <w:rPr>
          <w:i/>
          <w:iCs/>
          <w:sz w:val="22"/>
          <w:szCs w:val="18"/>
          <w:lang w:eastAsia="es-ES_tradnl"/>
        </w:rPr>
        <w:t xml:space="preserve">Salem </w:t>
      </w:r>
      <w:proofErr w:type="spellStart"/>
      <w:r w:rsidRPr="0081495C">
        <w:rPr>
          <w:i/>
          <w:iCs/>
          <w:sz w:val="22"/>
          <w:szCs w:val="18"/>
          <w:lang w:eastAsia="es-ES_tradnl"/>
        </w:rPr>
        <w:t>Eman</w:t>
      </w:r>
      <w:proofErr w:type="spellEnd"/>
      <w:r w:rsidRPr="0081495C">
        <w:rPr>
          <w:i/>
          <w:iCs/>
          <w:sz w:val="22"/>
          <w:szCs w:val="18"/>
          <w:lang w:eastAsia="es-ES_tradnl"/>
        </w:rPr>
        <w:t xml:space="preserve">, et. al. (2018). Genotoxic effects of occupational exposure to benzene in gasoline station workers. Industrial </w:t>
      </w:r>
      <w:proofErr w:type="spellStart"/>
      <w:r w:rsidRPr="0081495C">
        <w:rPr>
          <w:i/>
          <w:iCs/>
          <w:sz w:val="22"/>
          <w:szCs w:val="18"/>
          <w:lang w:eastAsia="es-ES_tradnl"/>
        </w:rPr>
        <w:t>Health</w:t>
      </w:r>
      <w:proofErr w:type="spellEnd"/>
      <w:r w:rsidRPr="0081495C">
        <w:rPr>
          <w:i/>
          <w:iCs/>
          <w:sz w:val="22"/>
          <w:szCs w:val="18"/>
          <w:lang w:eastAsia="es-ES_tradnl"/>
        </w:rPr>
        <w:t>. 56, 132–140.</w:t>
      </w:r>
    </w:p>
    <w:p w14:paraId="20C8E88F" w14:textId="77777777" w:rsidR="0081495C" w:rsidRPr="0081495C" w:rsidRDefault="0081495C" w:rsidP="0081495C">
      <w:pPr>
        <w:pStyle w:val="Prrafodelista"/>
        <w:ind w:left="142"/>
        <w:rPr>
          <w:lang w:eastAsia="es-ES_tradnl"/>
        </w:rPr>
      </w:pPr>
    </w:p>
    <w:p w14:paraId="568E6740" w14:textId="77777777" w:rsidR="0081495C" w:rsidRPr="0081495C" w:rsidRDefault="0081495C" w:rsidP="0081495C">
      <w:pPr>
        <w:ind w:left="142"/>
        <w:rPr>
          <w:rStyle w:val="Textoennegrita"/>
          <w:sz w:val="28"/>
          <w:szCs w:val="28"/>
          <w:lang w:val="es-MX"/>
        </w:rPr>
      </w:pPr>
      <w:r w:rsidRPr="0081495C">
        <w:rPr>
          <w:rStyle w:val="Textoennegrita"/>
          <w:sz w:val="28"/>
          <w:szCs w:val="28"/>
          <w:lang w:val="es-MX"/>
        </w:rPr>
        <w:t>Palabras clave</w:t>
      </w:r>
    </w:p>
    <w:p w14:paraId="3AD3CDA1" w14:textId="77777777" w:rsidR="0081495C" w:rsidRPr="0081495C" w:rsidRDefault="0081495C" w:rsidP="0081495C">
      <w:pPr>
        <w:pStyle w:val="Prrafodelista"/>
        <w:ind w:left="142"/>
        <w:rPr>
          <w:lang w:eastAsia="es-ES_tradnl"/>
        </w:rPr>
      </w:pPr>
      <w:r w:rsidRPr="0081495C">
        <w:rPr>
          <w:lang w:eastAsia="es-ES_tradnl"/>
        </w:rPr>
        <w:t xml:space="preserve">Citotoxicidad, genotoxicidad, compuestos </w:t>
      </w:r>
      <w:proofErr w:type="spellStart"/>
      <w:r w:rsidRPr="0081495C">
        <w:rPr>
          <w:lang w:eastAsia="es-ES_tradnl"/>
        </w:rPr>
        <w:t>ogánicos</w:t>
      </w:r>
      <w:proofErr w:type="spellEnd"/>
      <w:r w:rsidRPr="0081495C">
        <w:rPr>
          <w:lang w:eastAsia="es-ES_tradnl"/>
        </w:rPr>
        <w:t xml:space="preserve"> volátiles</w:t>
      </w:r>
    </w:p>
    <w:sectPr w:rsidR="0081495C" w:rsidRPr="0081495C" w:rsidSect="0081495C">
      <w:pgSz w:w="12242" w:h="15842" w:code="124"/>
      <w:pgMar w:top="1417" w:right="1701" w:bottom="1417" w:left="1701" w:header="720" w:footer="720" w:gutter="0"/>
      <w:cols w:sep="1"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AD79E" w14:textId="77777777" w:rsidR="00A70ED1" w:rsidRDefault="00A70ED1" w:rsidP="004D3D56">
      <w:pPr>
        <w:spacing w:after="0" w:line="240" w:lineRule="auto"/>
      </w:pPr>
      <w:r>
        <w:separator/>
      </w:r>
    </w:p>
  </w:endnote>
  <w:endnote w:type="continuationSeparator" w:id="0">
    <w:p w14:paraId="7BB1F647" w14:textId="77777777" w:rsidR="00A70ED1" w:rsidRDefault="00A70ED1" w:rsidP="004D3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2A4E3" w14:textId="77777777" w:rsidR="00A70ED1" w:rsidRDefault="00A70ED1" w:rsidP="004D3D56">
      <w:pPr>
        <w:spacing w:after="0" w:line="240" w:lineRule="auto"/>
      </w:pPr>
      <w:r>
        <w:separator/>
      </w:r>
    </w:p>
  </w:footnote>
  <w:footnote w:type="continuationSeparator" w:id="0">
    <w:p w14:paraId="574008EB" w14:textId="77777777" w:rsidR="00A70ED1" w:rsidRDefault="00A70ED1" w:rsidP="004D3D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ocumentProtection w:edit="forms"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D3D56"/>
    <w:rsid w:val="001672A7"/>
    <w:rsid w:val="001C5B6C"/>
    <w:rsid w:val="0024233D"/>
    <w:rsid w:val="00267013"/>
    <w:rsid w:val="002A30A5"/>
    <w:rsid w:val="002B50EA"/>
    <w:rsid w:val="002E5CB3"/>
    <w:rsid w:val="00302ED9"/>
    <w:rsid w:val="003207C6"/>
    <w:rsid w:val="00394AEA"/>
    <w:rsid w:val="003D728E"/>
    <w:rsid w:val="00484EDE"/>
    <w:rsid w:val="004D1F44"/>
    <w:rsid w:val="004D3D56"/>
    <w:rsid w:val="004D729C"/>
    <w:rsid w:val="004E4374"/>
    <w:rsid w:val="00551521"/>
    <w:rsid w:val="00586BFF"/>
    <w:rsid w:val="005F7339"/>
    <w:rsid w:val="00641F03"/>
    <w:rsid w:val="006801EA"/>
    <w:rsid w:val="00743611"/>
    <w:rsid w:val="00781195"/>
    <w:rsid w:val="007B22A6"/>
    <w:rsid w:val="0081495C"/>
    <w:rsid w:val="008945F2"/>
    <w:rsid w:val="00906A25"/>
    <w:rsid w:val="00940D6A"/>
    <w:rsid w:val="009F63B4"/>
    <w:rsid w:val="00A70ED1"/>
    <w:rsid w:val="00B60784"/>
    <w:rsid w:val="00C07A66"/>
    <w:rsid w:val="00CA769F"/>
    <w:rsid w:val="00D256FE"/>
    <w:rsid w:val="00D25B80"/>
    <w:rsid w:val="00D36206"/>
    <w:rsid w:val="00DF3CB8"/>
    <w:rsid w:val="00E16086"/>
    <w:rsid w:val="00E44E8C"/>
    <w:rsid w:val="00E9092B"/>
    <w:rsid w:val="00F10C6D"/>
    <w:rsid w:val="00FA71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2D29C"/>
  <w15:docId w15:val="{15FE9C89-3CFF-4445-9E3B-347C35A98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95C"/>
  </w:style>
  <w:style w:type="paragraph" w:styleId="Ttulo1">
    <w:name w:val="heading 1"/>
    <w:basedOn w:val="Normal"/>
    <w:next w:val="Textoindependiente"/>
    <w:link w:val="Ttulo1Car"/>
    <w:qFormat/>
    <w:rsid w:val="004D3D56"/>
    <w:pPr>
      <w:spacing w:after="200" w:line="480" w:lineRule="auto"/>
      <w:jc w:val="center"/>
      <w:outlineLvl w:val="0"/>
    </w:pPr>
    <w:rPr>
      <w:rFonts w:ascii="Times New Roman" w:eastAsia="Times New Roman" w:hAnsi="Times New Roman" w:cs="Times New Roman"/>
      <w:sz w:val="24"/>
      <w:szCs w:val="20"/>
      <w:lang w:val="es-ES_tradnl"/>
    </w:rPr>
  </w:style>
  <w:style w:type="paragraph" w:styleId="Ttulo4">
    <w:name w:val="heading 4"/>
    <w:basedOn w:val="Normal"/>
    <w:next w:val="Normal"/>
    <w:link w:val="Ttulo4Car"/>
    <w:uiPriority w:val="9"/>
    <w:semiHidden/>
    <w:unhideWhenUsed/>
    <w:qFormat/>
    <w:rsid w:val="0081495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documento">
    <w:name w:val="titulo_documento"/>
    <w:basedOn w:val="Normal"/>
    <w:autoRedefine/>
    <w:qFormat/>
    <w:rsid w:val="004E4374"/>
    <w:pPr>
      <w:spacing w:after="0" w:line="240" w:lineRule="auto"/>
      <w:jc w:val="center"/>
    </w:pPr>
    <w:rPr>
      <w:rFonts w:ascii="Arial" w:hAnsi="Arial" w:cs="Arial"/>
      <w:caps/>
    </w:rPr>
  </w:style>
  <w:style w:type="paragraph" w:customStyle="1" w:styleId="contribucion">
    <w:name w:val="contribucion"/>
    <w:basedOn w:val="Textoindependiente"/>
    <w:qFormat/>
    <w:rsid w:val="00743611"/>
    <w:pPr>
      <w:suppressAutoHyphens/>
      <w:spacing w:after="0" w:line="360" w:lineRule="auto"/>
      <w:jc w:val="both"/>
    </w:pPr>
    <w:rPr>
      <w:rFonts w:eastAsia="Times New Roman" w:cs="Arial"/>
      <w:b/>
      <w:i/>
      <w:sz w:val="20"/>
      <w:szCs w:val="20"/>
      <w:lang w:val="es-ES_tradnl"/>
    </w:rPr>
  </w:style>
  <w:style w:type="paragraph" w:styleId="Textoindependiente">
    <w:name w:val="Body Text"/>
    <w:basedOn w:val="Normal"/>
    <w:link w:val="TextoindependienteCar"/>
    <w:unhideWhenUsed/>
    <w:rsid w:val="00743611"/>
    <w:pPr>
      <w:spacing w:after="120"/>
    </w:pPr>
  </w:style>
  <w:style w:type="character" w:customStyle="1" w:styleId="TextoindependienteCar">
    <w:name w:val="Texto independiente Car"/>
    <w:basedOn w:val="Fuentedeprrafopredeter"/>
    <w:link w:val="Textoindependiente"/>
    <w:rsid w:val="00743611"/>
  </w:style>
  <w:style w:type="paragraph" w:customStyle="1" w:styleId="parrafo">
    <w:name w:val="parrafo"/>
    <w:basedOn w:val="Normal"/>
    <w:link w:val="parrafoCar"/>
    <w:qFormat/>
    <w:rsid w:val="00E44E8C"/>
    <w:pPr>
      <w:spacing w:after="120" w:line="276" w:lineRule="auto"/>
      <w:jc w:val="both"/>
    </w:pPr>
    <w:rPr>
      <w:rFonts w:ascii="Times New Roman" w:eastAsia="Times New Roman" w:hAnsi="Times New Roman" w:cs="Times New Roman"/>
      <w:sz w:val="24"/>
      <w:szCs w:val="20"/>
      <w:lang w:val="es-ES_tradnl"/>
    </w:rPr>
  </w:style>
  <w:style w:type="character" w:customStyle="1" w:styleId="parrafoCar">
    <w:name w:val="parrafo Car"/>
    <w:basedOn w:val="Fuentedeprrafopredeter"/>
    <w:link w:val="parrafo"/>
    <w:rsid w:val="00E44E8C"/>
    <w:rPr>
      <w:rFonts w:ascii="Times New Roman" w:eastAsia="Times New Roman" w:hAnsi="Times New Roman" w:cs="Times New Roman"/>
      <w:sz w:val="24"/>
      <w:szCs w:val="20"/>
      <w:lang w:val="es-ES_tradnl"/>
    </w:rPr>
  </w:style>
  <w:style w:type="character" w:customStyle="1" w:styleId="Ttulo1Car">
    <w:name w:val="Título 1 Car"/>
    <w:basedOn w:val="Fuentedeprrafopredeter"/>
    <w:link w:val="Ttulo1"/>
    <w:rsid w:val="004D3D56"/>
    <w:rPr>
      <w:rFonts w:ascii="Times New Roman" w:eastAsia="Times New Roman" w:hAnsi="Times New Roman" w:cs="Times New Roman"/>
      <w:sz w:val="24"/>
      <w:szCs w:val="20"/>
      <w:lang w:val="es-ES_tradnl"/>
    </w:rPr>
  </w:style>
  <w:style w:type="paragraph" w:styleId="Encabezado">
    <w:name w:val="header"/>
    <w:basedOn w:val="Normal"/>
    <w:link w:val="EncabezadoCar"/>
    <w:rsid w:val="004D3D56"/>
    <w:pPr>
      <w:tabs>
        <w:tab w:val="center" w:pos="4320"/>
        <w:tab w:val="right" w:pos="8640"/>
      </w:tabs>
      <w:spacing w:after="200" w:line="276" w:lineRule="auto"/>
    </w:pPr>
    <w:rPr>
      <w:rFonts w:ascii="Times New Roman" w:eastAsia="Times New Roman" w:hAnsi="Times New Roman" w:cs="Times New Roman"/>
      <w:sz w:val="24"/>
      <w:szCs w:val="20"/>
      <w:lang w:val="es-ES_tradnl"/>
    </w:rPr>
  </w:style>
  <w:style w:type="character" w:customStyle="1" w:styleId="EncabezadoCar">
    <w:name w:val="Encabezado Car"/>
    <w:basedOn w:val="Fuentedeprrafopredeter"/>
    <w:link w:val="Encabezado"/>
    <w:rsid w:val="004D3D56"/>
    <w:rPr>
      <w:rFonts w:ascii="Times New Roman" w:eastAsia="Times New Roman" w:hAnsi="Times New Roman" w:cs="Times New Roman"/>
      <w:sz w:val="24"/>
      <w:szCs w:val="20"/>
      <w:lang w:val="es-ES_tradnl"/>
    </w:rPr>
  </w:style>
  <w:style w:type="character" w:styleId="Nmerodepgina">
    <w:name w:val="page number"/>
    <w:basedOn w:val="Fuentedeprrafopredeter"/>
    <w:rsid w:val="004D3D56"/>
  </w:style>
  <w:style w:type="paragraph" w:styleId="Piedepgina">
    <w:name w:val="footer"/>
    <w:basedOn w:val="Normal"/>
    <w:link w:val="PiedepginaCar"/>
    <w:uiPriority w:val="99"/>
    <w:unhideWhenUsed/>
    <w:rsid w:val="004D3D56"/>
    <w:pPr>
      <w:tabs>
        <w:tab w:val="center" w:pos="4419"/>
        <w:tab w:val="right" w:pos="8838"/>
      </w:tabs>
      <w:spacing w:after="200" w:line="276" w:lineRule="auto"/>
    </w:pPr>
    <w:rPr>
      <w:rFonts w:ascii="Times" w:eastAsia="Times New Roman" w:hAnsi="Times" w:cs="Times New Roman"/>
      <w:sz w:val="24"/>
      <w:szCs w:val="20"/>
      <w:lang w:val="es-ES_tradnl"/>
    </w:rPr>
  </w:style>
  <w:style w:type="character" w:customStyle="1" w:styleId="PiedepginaCar">
    <w:name w:val="Pie de página Car"/>
    <w:basedOn w:val="Fuentedeprrafopredeter"/>
    <w:link w:val="Piedepgina"/>
    <w:uiPriority w:val="99"/>
    <w:rsid w:val="004D3D56"/>
    <w:rPr>
      <w:rFonts w:ascii="Times" w:eastAsia="Times New Roman" w:hAnsi="Times" w:cs="Times New Roman"/>
      <w:sz w:val="24"/>
      <w:szCs w:val="20"/>
      <w:lang w:val="es-ES_tradnl"/>
    </w:rPr>
  </w:style>
  <w:style w:type="table" w:styleId="Tablaconcuadrcula">
    <w:name w:val="Table Grid"/>
    <w:basedOn w:val="Tablanormal"/>
    <w:uiPriority w:val="59"/>
    <w:unhideWhenUsed/>
    <w:rsid w:val="004D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art">
    <w:name w:val="titulo art"/>
    <w:basedOn w:val="Normal"/>
    <w:link w:val="tituloartCar"/>
    <w:autoRedefine/>
    <w:qFormat/>
    <w:rsid w:val="004D3D56"/>
    <w:pPr>
      <w:jc w:val="center"/>
    </w:pPr>
    <w:rPr>
      <w:rFonts w:ascii="Times New Roman" w:hAnsi="Times New Roman" w:cs="Times New Roman"/>
      <w:b/>
      <w:sz w:val="32"/>
      <w:szCs w:val="32"/>
      <w:lang w:val="es-MX"/>
    </w:rPr>
  </w:style>
  <w:style w:type="character" w:customStyle="1" w:styleId="tituloartCar">
    <w:name w:val="titulo art Car"/>
    <w:basedOn w:val="Fuentedeprrafopredeter"/>
    <w:link w:val="tituloart"/>
    <w:rsid w:val="004D3D56"/>
    <w:rPr>
      <w:rFonts w:ascii="Times New Roman" w:hAnsi="Times New Roman" w:cs="Times New Roman"/>
      <w:b/>
      <w:sz w:val="32"/>
      <w:szCs w:val="32"/>
      <w:lang w:val="es-MX"/>
    </w:rPr>
  </w:style>
  <w:style w:type="character" w:customStyle="1" w:styleId="titeng">
    <w:name w:val="tit_eng"/>
    <w:basedOn w:val="Ttulodellibro"/>
    <w:uiPriority w:val="1"/>
    <w:rsid w:val="004D3D56"/>
    <w:rPr>
      <w:rFonts w:ascii="Times New Roman" w:hAnsi="Times New Roman"/>
      <w:b/>
      <w:bCs/>
      <w:i w:val="0"/>
      <w:iCs/>
      <w:spacing w:val="5"/>
      <w:sz w:val="32"/>
    </w:rPr>
  </w:style>
  <w:style w:type="character" w:customStyle="1" w:styleId="autores">
    <w:name w:val="autores"/>
    <w:basedOn w:val="Fuentedeprrafopredeter"/>
    <w:uiPriority w:val="1"/>
    <w:rsid w:val="004D3D56"/>
    <w:rPr>
      <w:rFonts w:ascii="Calibri" w:hAnsi="Calibri"/>
      <w:sz w:val="28"/>
    </w:rPr>
  </w:style>
  <w:style w:type="paragraph" w:customStyle="1" w:styleId="Afiliacin">
    <w:name w:val="Afiliación"/>
    <w:basedOn w:val="Textoindependiente"/>
    <w:link w:val="AfiliacinCar"/>
    <w:qFormat/>
    <w:rsid w:val="004D3D56"/>
    <w:pPr>
      <w:spacing w:after="0" w:line="240" w:lineRule="auto"/>
      <w:ind w:left="567"/>
    </w:pPr>
    <w:rPr>
      <w:rFonts w:eastAsia="Times New Roman" w:cstheme="minorHAnsi"/>
      <w:i/>
      <w:sz w:val="20"/>
      <w:szCs w:val="24"/>
      <w:lang w:val="es-ES_tradnl"/>
    </w:rPr>
  </w:style>
  <w:style w:type="character" w:styleId="Referenciasutil">
    <w:name w:val="Subtle Reference"/>
    <w:basedOn w:val="Fuentedeprrafopredeter"/>
    <w:uiPriority w:val="31"/>
    <w:qFormat/>
    <w:rsid w:val="004D3D56"/>
    <w:rPr>
      <w:rFonts w:asciiTheme="minorHAnsi" w:hAnsiTheme="minorHAnsi"/>
      <w:i/>
      <w:smallCaps/>
      <w:color w:val="5A5A5A" w:themeColor="text1" w:themeTint="A5"/>
      <w:sz w:val="20"/>
    </w:rPr>
  </w:style>
  <w:style w:type="character" w:customStyle="1" w:styleId="AfiliacinCar">
    <w:name w:val="Afiliación Car"/>
    <w:basedOn w:val="TextoindependienteCar"/>
    <w:link w:val="Afiliacin"/>
    <w:rsid w:val="004D3D56"/>
    <w:rPr>
      <w:rFonts w:eastAsia="Times New Roman" w:cstheme="minorHAnsi"/>
      <w:i/>
      <w:sz w:val="20"/>
      <w:szCs w:val="24"/>
      <w:lang w:val="es-ES_tradnl"/>
    </w:rPr>
  </w:style>
  <w:style w:type="paragraph" w:styleId="Prrafodelista">
    <w:name w:val="List Paragraph"/>
    <w:basedOn w:val="Normal"/>
    <w:autoRedefine/>
    <w:uiPriority w:val="34"/>
    <w:qFormat/>
    <w:rsid w:val="004D3D56"/>
    <w:pPr>
      <w:spacing w:after="200" w:line="276" w:lineRule="auto"/>
      <w:jc w:val="both"/>
    </w:pPr>
    <w:rPr>
      <w:rFonts w:ascii="Times" w:eastAsia="Times New Roman" w:hAnsi="Times" w:cs="Times New Roman"/>
      <w:sz w:val="24"/>
      <w:szCs w:val="20"/>
      <w:lang w:val="es-ES_tradnl"/>
    </w:rPr>
  </w:style>
  <w:style w:type="character" w:styleId="Textoennegrita">
    <w:name w:val="Strong"/>
    <w:basedOn w:val="Fuentedeprrafopredeter"/>
    <w:uiPriority w:val="22"/>
    <w:qFormat/>
    <w:rsid w:val="004D3D56"/>
    <w:rPr>
      <w:b/>
      <w:bCs/>
    </w:rPr>
  </w:style>
  <w:style w:type="table" w:customStyle="1" w:styleId="Sombreadoclaro1">
    <w:name w:val="Sombreado claro1"/>
    <w:basedOn w:val="Tablanormal"/>
    <w:uiPriority w:val="60"/>
    <w:rsid w:val="004D3D56"/>
    <w:pPr>
      <w:spacing w:after="0" w:line="240" w:lineRule="auto"/>
    </w:pPr>
    <w:rPr>
      <w:color w:val="000000" w:themeColor="text1" w:themeShade="BF"/>
      <w:sz w:val="24"/>
      <w:szCs w:val="24"/>
      <w:lang w:val="es-ES_tradnl"/>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inespaciado">
    <w:name w:val="No Spacing"/>
    <w:uiPriority w:val="1"/>
    <w:qFormat/>
    <w:rsid w:val="004D3D56"/>
    <w:pPr>
      <w:spacing w:after="0" w:line="240" w:lineRule="auto"/>
    </w:pPr>
    <w:rPr>
      <w:rFonts w:ascii="Times" w:eastAsia="Times New Roman" w:hAnsi="Times" w:cs="Times New Roman"/>
      <w:sz w:val="24"/>
      <w:szCs w:val="20"/>
      <w:lang w:val="es-ES_tradnl"/>
    </w:rPr>
  </w:style>
  <w:style w:type="character" w:styleId="Ttulodellibro">
    <w:name w:val="Book Title"/>
    <w:basedOn w:val="Fuentedeprrafopredeter"/>
    <w:uiPriority w:val="33"/>
    <w:qFormat/>
    <w:rsid w:val="004D3D56"/>
    <w:rPr>
      <w:b/>
      <w:bCs/>
      <w:i/>
      <w:iCs/>
      <w:spacing w:val="5"/>
    </w:rPr>
  </w:style>
  <w:style w:type="character" w:styleId="Textodelmarcadordeposicin">
    <w:name w:val="Placeholder Text"/>
    <w:basedOn w:val="Fuentedeprrafopredeter"/>
    <w:uiPriority w:val="99"/>
    <w:semiHidden/>
    <w:rsid w:val="004D3D56"/>
  </w:style>
  <w:style w:type="paragraph" w:styleId="Textodeglobo">
    <w:name w:val="Balloon Text"/>
    <w:basedOn w:val="Normal"/>
    <w:link w:val="TextodegloboCar"/>
    <w:uiPriority w:val="99"/>
    <w:semiHidden/>
    <w:unhideWhenUsed/>
    <w:rsid w:val="004D3D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3D56"/>
    <w:rPr>
      <w:rFonts w:ascii="Segoe UI" w:hAnsi="Segoe UI" w:cs="Segoe UI"/>
      <w:sz w:val="18"/>
      <w:szCs w:val="18"/>
    </w:rPr>
  </w:style>
  <w:style w:type="character" w:customStyle="1" w:styleId="Ttulo4Car">
    <w:name w:val="Título 4 Car"/>
    <w:basedOn w:val="Fuentedeprrafopredeter"/>
    <w:link w:val="Ttulo4"/>
    <w:uiPriority w:val="9"/>
    <w:semiHidden/>
    <w:rsid w:val="0081495C"/>
    <w:rPr>
      <w:rFonts w:asciiTheme="majorHAnsi" w:eastAsiaTheme="majorEastAsia" w:hAnsiTheme="majorHAnsi" w:cstheme="majorBidi"/>
      <w:i/>
      <w:iCs/>
      <w:color w:val="2F5496" w:themeColor="accent1" w:themeShade="BF"/>
    </w:rPr>
  </w:style>
  <w:style w:type="character" w:styleId="nfasis">
    <w:name w:val="Emphasis"/>
    <w:basedOn w:val="Fuentedeprrafopredeter"/>
    <w:uiPriority w:val="20"/>
    <w:qFormat/>
    <w:rsid w:val="0081495C"/>
    <w:rPr>
      <w:i/>
      <w:iCs/>
    </w:rPr>
  </w:style>
  <w:style w:type="paragraph" w:styleId="NormalWeb">
    <w:name w:val="Normal (Web)"/>
    <w:basedOn w:val="Normal"/>
    <w:uiPriority w:val="99"/>
    <w:semiHidden/>
    <w:unhideWhenUsed/>
    <w:rsid w:val="0081495C"/>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6426">
      <w:bodyDiv w:val="1"/>
      <w:marLeft w:val="0"/>
      <w:marRight w:val="0"/>
      <w:marTop w:val="0"/>
      <w:marBottom w:val="0"/>
      <w:divBdr>
        <w:top w:val="none" w:sz="0" w:space="0" w:color="auto"/>
        <w:left w:val="none" w:sz="0" w:space="0" w:color="auto"/>
        <w:bottom w:val="none" w:sz="0" w:space="0" w:color="auto"/>
        <w:right w:val="none" w:sz="0" w:space="0" w:color="auto"/>
      </w:divBdr>
    </w:div>
    <w:div w:id="360126631">
      <w:bodyDiv w:val="1"/>
      <w:marLeft w:val="0"/>
      <w:marRight w:val="0"/>
      <w:marTop w:val="0"/>
      <w:marBottom w:val="0"/>
      <w:divBdr>
        <w:top w:val="none" w:sz="0" w:space="0" w:color="auto"/>
        <w:left w:val="none" w:sz="0" w:space="0" w:color="auto"/>
        <w:bottom w:val="none" w:sz="0" w:space="0" w:color="auto"/>
        <w:right w:val="none" w:sz="0" w:space="0" w:color="auto"/>
      </w:divBdr>
    </w:div>
    <w:div w:id="518811651">
      <w:bodyDiv w:val="1"/>
      <w:marLeft w:val="0"/>
      <w:marRight w:val="0"/>
      <w:marTop w:val="0"/>
      <w:marBottom w:val="0"/>
      <w:divBdr>
        <w:top w:val="none" w:sz="0" w:space="0" w:color="auto"/>
        <w:left w:val="none" w:sz="0" w:space="0" w:color="auto"/>
        <w:bottom w:val="none" w:sz="0" w:space="0" w:color="auto"/>
        <w:right w:val="none" w:sz="0" w:space="0" w:color="auto"/>
      </w:divBdr>
    </w:div>
    <w:div w:id="702289919">
      <w:bodyDiv w:val="1"/>
      <w:marLeft w:val="0"/>
      <w:marRight w:val="0"/>
      <w:marTop w:val="0"/>
      <w:marBottom w:val="0"/>
      <w:divBdr>
        <w:top w:val="none" w:sz="0" w:space="0" w:color="auto"/>
        <w:left w:val="none" w:sz="0" w:space="0" w:color="auto"/>
        <w:bottom w:val="none" w:sz="0" w:space="0" w:color="auto"/>
        <w:right w:val="none" w:sz="0" w:space="0" w:color="auto"/>
      </w:divBdr>
    </w:div>
    <w:div w:id="1213689997">
      <w:bodyDiv w:val="1"/>
      <w:marLeft w:val="0"/>
      <w:marRight w:val="0"/>
      <w:marTop w:val="0"/>
      <w:marBottom w:val="0"/>
      <w:divBdr>
        <w:top w:val="none" w:sz="0" w:space="0" w:color="auto"/>
        <w:left w:val="none" w:sz="0" w:space="0" w:color="auto"/>
        <w:bottom w:val="none" w:sz="0" w:space="0" w:color="auto"/>
        <w:right w:val="none" w:sz="0" w:space="0" w:color="auto"/>
      </w:divBdr>
    </w:div>
    <w:div w:id="1480880654">
      <w:bodyDiv w:val="1"/>
      <w:marLeft w:val="0"/>
      <w:marRight w:val="0"/>
      <w:marTop w:val="0"/>
      <w:marBottom w:val="0"/>
      <w:divBdr>
        <w:top w:val="none" w:sz="0" w:space="0" w:color="auto"/>
        <w:left w:val="none" w:sz="0" w:space="0" w:color="auto"/>
        <w:bottom w:val="none" w:sz="0" w:space="0" w:color="auto"/>
        <w:right w:val="none" w:sz="0" w:space="0" w:color="auto"/>
      </w:divBdr>
      <w:divsChild>
        <w:div w:id="273439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518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Uso de RIST</PublishDate>
  <Abstract/>
  <CompanyAddress>Dirección postal del primer autor, por ejemplo: Av. Batalla de 5 de mayo esq. Fuerte de Loreto Col Ejército de Oriente. C.P. 09230 Iztapalapa, CDMX</CompanyAddress>
  <CompanyPhone/>
  <CompanyFax/>
  <CompanyEmail>Incluya su dirección activa de correo, por ejemplo: soej@unam.mx</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855</Words>
  <Characters>4703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Formato para presentación de aportaciones del 6to Foro de Investigación de la Red de Posgrados en Salud en el Trabajo</vt:lpstr>
    </vt:vector>
  </TitlesOfParts>
  <Company>Liste las instituciones de adscripción, anteponiendo un número entre paréntesis para diferenciar cada caso, por ejemplo: (1) FES Zaragoza, UNAM</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para presentación de aportaciones del 6to Foro de Investigación de la Red de Posgrados en Salud en el Trabajo</dc:title>
  <dc:subject>Liste los coautores en orden de prioridad, máximo 2, considere las características de primer autor. Por ejemplo:  Alma X. Herrera Márquez¹, Faustino López Barrera¹ y Patricia Parra Cervantes¹</dc:subject>
  <dc:creator>Juan Luis Soto Espinosa</dc:creator>
  <cp:keywords/>
  <dc:description/>
  <cp:lastModifiedBy>Juan Luis Soto Espinosa</cp:lastModifiedBy>
  <cp:revision>2</cp:revision>
  <dcterms:created xsi:type="dcterms:W3CDTF">2021-06-02T22:20:00Z</dcterms:created>
  <dcterms:modified xsi:type="dcterms:W3CDTF">2021-06-02T22:20:00Z</dcterms:modified>
  <cp:category>Form for the presentation of contributions of the VI Research Forum of the Postgraduate Network in Occupational Health.</cp:category>
  <cp:contentStatus>Incluya la fecha en que envía el trabajo, por ejemplo 28/03/2019</cp:contentStatus>
</cp:coreProperties>
</file>